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40"/>
        <w:jc w:val="center"/>
      </w:pPr>
      <w:r>
        <w:rPr>
          <w:b/>
          <w:color w:val="1B2A4A"/>
          <w:sz w:val="44"/>
        </w:rPr>
        <w:t>GRIFFIN SALYER</w:t>
      </w:r>
    </w:p>
    <w:p>
      <w:pPr>
        <w:spacing w:before="0" w:after="80"/>
        <w:jc w:val="center"/>
        <w:pBdr>
          <w:bottom w:val="single" w:sz="12" w:space="1" w:color="1B2A4A"/>
        </w:pBdr>
      </w:pPr>
      <w:r>
        <w:rPr>
          <w:color w:val="444444"/>
          <w:sz w:val="18"/>
        </w:rPr>
        <w:t>757-876-8281</w:t>
      </w:r>
      <w:r>
        <w:rPr>
          <w:color w:val="C5CED6"/>
          <w:sz w:val="16"/>
        </w:rPr>
        <w:t xml:space="preserve"> • </w:t>
      </w:r>
      <w:r>
        <w:rPr>
          <w:color w:val="3D6B99"/>
          <w:sz w:val="18"/>
        </w:rPr>
        <w:t>griffinsalyer@gmail.com</w:t>
      </w:r>
      <w:r>
        <w:rPr>
          <w:color w:val="C5CED6"/>
          <w:sz w:val="16"/>
        </w:rPr>
        <w:t xml:space="preserve"> • </w:t>
      </w:r>
      <w:r>
        <w:rPr>
          <w:color w:val="3D6B99"/>
          <w:sz w:val="18"/>
        </w:rPr>
        <w:t>linkedin.com/in/griffinsalyer</w:t>
      </w:r>
      <w:r>
        <w:rPr>
          <w:color w:val="C5CED6"/>
          <w:sz w:val="16"/>
        </w:rPr>
        <w:t xml:space="preserve"> • </w:t>
      </w:r>
      <w:r>
        <w:rPr>
          <w:color w:val="3D6B99"/>
          <w:sz w:val="18"/>
        </w:rPr>
        <w:t>griffinsalyer.com</w:t>
      </w:r>
    </w:p>
    <w:p>
      <w:pPr>
        <w:spacing w:before="160" w:after="80"/>
        <w:pBdr>
          <w:bottom w:val="single" w:sz="8" w:space="1" w:color="1B2A4A"/>
        </w:pBdr>
      </w:pPr>
      <w:r>
        <w:rPr>
          <w:b/>
          <w:color w:val="1B2A4A"/>
          <w:sz w:val="22"/>
        </w:rPr>
        <w:t>EXECUTIVE SUMMARY</w:t>
      </w:r>
    </w:p>
    <w:p>
      <w:pPr>
        <w:spacing w:before="0" w:after="40" w:line="312" w:lineRule="auto"/>
      </w:pPr>
      <w:r>
        <w:rPr>
          <w:color w:val="1A1A1A"/>
          <w:sz w:val="19"/>
        </w:rPr>
        <w:t>I build the data capabilities that organizations need to operate at the next level of scale and sophistication. Across insurance, reinsurance, and pharmaceutical industries, I have led teams through complex infrastructure transformations — turning fragmented, undocumented systems into durable foundations for modeling, underwriting, and strategic decision-making. My work lives at the intersection of technical depth and organizational leadership: I architect production systems, deploy predictive models, and design scalable pipelines, but I also diagnose systemic issues, align cross-functional teams, and build the culture and practices that make technical work sustainable. I am pursuing an Executive MBA at William &amp; Mary alongside full-time leadership because the hardest problems in data are not technical — they are organizational.</w:t>
      </w:r>
    </w:p>
    <w:p>
      <w:pPr>
        <w:spacing w:before="160" w:after="80"/>
        <w:pBdr>
          <w:bottom w:val="single" w:sz="8" w:space="1" w:color="1B2A4A"/>
        </w:pBdr>
      </w:pPr>
      <w:r>
        <w:rPr>
          <w:b/>
          <w:color w:val="1B2A4A"/>
          <w:sz w:val="22"/>
        </w:rPr>
        <w:t>LEADERSHIP &amp; EXPERIENCE</w:t>
      </w:r>
    </w:p>
    <w:p>
      <w:pPr>
        <w:tabs>
          <w:tab w:pos="11232" w:val="right"/>
        </w:tabs>
        <w:spacing w:before="120" w:after="20"/>
      </w:pPr>
      <w:r>
        <w:rPr>
          <w:b/>
          <w:color w:val="1A1A1A"/>
          <w:sz w:val="22"/>
        </w:rPr>
        <w:t>Lead Data Scientist</w:t>
      </w:r>
      <w:r>
        <w:rPr>
          <w:color w:val="444444"/>
          <w:sz w:val="20"/>
        </w:rPr>
        <w:t xml:space="preserve">  |  Donegal Insurance Group</w:t>
      </w:r>
      <w:r>
        <w:rPr>
          <w:i/>
          <w:color w:val="666666"/>
          <w:sz w:val="18"/>
        </w:rPr>
        <w:tab/>
        <w:t>June 2025 – Present</w:t>
      </w:r>
    </w:p>
    <w:p>
      <w:pPr>
        <w:spacing w:before="0" w:after="60"/>
      </w:pPr>
      <w:r>
        <w:rPr>
          <w:i/>
          <w:color w:val="3D6B99"/>
          <w:sz w:val="18"/>
        </w:rPr>
        <w:t>Project Lead, Commercial Lines Auto — Predictive Analytics, Specialty Insurance</w:t>
      </w:r>
    </w:p>
    <w:p>
      <w:pPr>
        <w:pStyle w:val="ListBullet"/>
        <w:spacing w:before="0" w:after="20" w:line="300" w:lineRule="auto"/>
        <w:ind w:left="360"/>
      </w:pPr>
      <w:r>
        <w:rPr>
          <w:color w:val="1A1A1A"/>
          <w:sz w:val="19"/>
        </w:rPr>
      </w:r>
      <w:r>
        <w:rPr>
          <w:b/>
          <w:color w:val="1A1A1A"/>
          <w:sz w:val="19"/>
        </w:rPr>
        <w:t>Full project lead for the Commercial Lines Auto initiative</w:t>
      </w:r>
      <w:r>
        <w:rPr>
          <w:color w:val="1A1A1A"/>
          <w:sz w:val="19"/>
        </w:rPr>
        <w:t>, a multi-phase program spanning data architecture, regulatory modeling, ratemaking, and production deployment — owning execution, stakeholder coordination, timeline management, and strategic direction across Donegal’s commercial insurance portfolio.</w:t>
      </w:r>
    </w:p>
    <w:p>
      <w:pPr>
        <w:pStyle w:val="ListBullet"/>
        <w:spacing w:before="0" w:after="20" w:line="300" w:lineRule="auto"/>
        <w:ind w:left="360"/>
      </w:pPr>
      <w:r>
        <w:rPr>
          <w:color w:val="1A1A1A"/>
          <w:sz w:val="19"/>
        </w:rPr>
        <w:t xml:space="preserve">Authored a </w:t>
      </w:r>
      <w:r>
        <w:rPr>
          <w:b/>
          <w:color w:val="1A1A1A"/>
          <w:sz w:val="19"/>
        </w:rPr>
        <w:t>31-page organizational analysis</w:t>
      </w:r>
      <w:r>
        <w:rPr>
          <w:color w:val="1A1A1A"/>
          <w:sz w:val="19"/>
        </w:rPr>
        <w:t xml:space="preserve"> surfacing 5 mission-critical systemic issues across data culture, development practices, planning, communication, and team integration — presented to executive leadership and now actively reshaping Donegal’s data science infrastructure and enterprise analytics landscape.</w:t>
      </w:r>
    </w:p>
    <w:p>
      <w:pPr>
        <w:pStyle w:val="ListBullet"/>
        <w:spacing w:before="0" w:after="20" w:line="300" w:lineRule="auto"/>
        <w:ind w:left="360"/>
      </w:pPr>
      <w:r>
        <w:rPr>
          <w:color w:val="1A1A1A"/>
          <w:sz w:val="19"/>
        </w:rPr>
      </w:r>
      <w:r>
        <w:rPr>
          <w:b/>
          <w:color w:val="1A1A1A"/>
          <w:sz w:val="19"/>
        </w:rPr>
        <w:t>Demonstrated clear leadership in aligning cross-functional teams</w:t>
      </w:r>
      <w:r>
        <w:rPr>
          <w:color w:val="1A1A1A"/>
          <w:sz w:val="19"/>
        </w:rPr>
        <w:t xml:space="preserve"> — including data scientists, actuaries, and external consultants — toward consistent engineering practices, architectural standards, and shared accountability for delivery quality.</w:t>
      </w:r>
    </w:p>
    <w:p>
      <w:pPr>
        <w:pStyle w:val="ListBullet"/>
        <w:spacing w:before="0" w:after="20" w:line="300" w:lineRule="auto"/>
        <w:ind w:left="360"/>
      </w:pPr>
      <w:r>
        <w:rPr>
          <w:color w:val="1A1A1A"/>
          <w:sz w:val="19"/>
        </w:rPr>
        <w:t>Established and maintain all consultant and executive stakeholder relationships, coordinating delivery across internal and external teams while translating technical complexity into business-relevant terms that drive leadership decision-making and investment priorities.</w:t>
      </w:r>
    </w:p>
    <w:p>
      <w:pPr>
        <w:tabs>
          <w:tab w:pos="11232" w:val="right"/>
        </w:tabs>
        <w:spacing w:before="120" w:after="20"/>
      </w:pPr>
      <w:r>
        <w:rPr>
          <w:b/>
          <w:color w:val="1A1A1A"/>
          <w:sz w:val="22"/>
        </w:rPr>
        <w:t>Data Scientist</w:t>
      </w:r>
      <w:r>
        <w:rPr>
          <w:color w:val="444444"/>
          <w:sz w:val="20"/>
        </w:rPr>
        <w:t xml:space="preserve">  |  Markel Group</w:t>
      </w:r>
      <w:r>
        <w:rPr>
          <w:i/>
          <w:color w:val="666666"/>
          <w:sz w:val="18"/>
        </w:rPr>
        <w:tab/>
        <w:t>2022 – 2025</w:t>
      </w:r>
    </w:p>
    <w:p>
      <w:pPr>
        <w:spacing w:before="0" w:after="60"/>
      </w:pPr>
      <w:r>
        <w:rPr>
          <w:i/>
          <w:color w:val="3D6B99"/>
          <w:sz w:val="18"/>
        </w:rPr>
        <w:t>Technical Lead, Experimentation &amp; Analytics → Reinsurance Finance — Specialty Insurance</w:t>
      </w:r>
    </w:p>
    <w:p>
      <w:pPr>
        <w:spacing w:before="60" w:after="40"/>
      </w:pPr>
      <w:r>
        <w:rPr>
          <w:b/>
          <w:color w:val="1A1A1A"/>
          <w:sz w:val="19"/>
        </w:rPr>
        <w:t>Experimentation &amp; Analytics</w:t>
      </w:r>
    </w:p>
    <w:p>
      <w:pPr>
        <w:pStyle w:val="ListBullet"/>
        <w:spacing w:before="0" w:after="20" w:line="300" w:lineRule="auto"/>
        <w:ind w:left="360"/>
      </w:pPr>
      <w:r>
        <w:rPr>
          <w:color w:val="1A1A1A"/>
          <w:sz w:val="19"/>
        </w:rPr>
        <w:t xml:space="preserve">Led cross-functional teams in developing and deploying </w:t>
      </w:r>
      <w:r>
        <w:rPr>
          <w:b/>
          <w:color w:val="1A1A1A"/>
          <w:sz w:val="19"/>
        </w:rPr>
        <w:t>13 production predictive models</w:t>
      </w:r>
      <w:r>
        <w:rPr>
          <w:color w:val="1A1A1A"/>
          <w:sz w:val="19"/>
        </w:rPr>
        <w:t xml:space="preserve"> across Azure environments, enhancing underwriting and operational decision-making across </w:t>
      </w:r>
      <w:r>
        <w:rPr>
          <w:b/>
          <w:color w:val="1A1A1A"/>
          <w:sz w:val="19"/>
        </w:rPr>
        <w:t>7 core and 40+ experimental business units</w:t>
      </w:r>
      <w:r>
        <w:rPr>
          <w:color w:val="1A1A1A"/>
          <w:sz w:val="19"/>
        </w:rPr>
        <w:t>.</w:t>
      </w:r>
    </w:p>
    <w:p>
      <w:pPr>
        <w:pStyle w:val="ListBullet"/>
        <w:spacing w:before="0" w:after="20" w:line="300" w:lineRule="auto"/>
        <w:ind w:left="360"/>
      </w:pPr>
      <w:r>
        <w:rPr>
          <w:color w:val="1A1A1A"/>
          <w:sz w:val="19"/>
        </w:rPr>
        <w:t xml:space="preserve">Led a predictive modeling initiative that generated insights directly contributing to a </w:t>
      </w:r>
      <w:r>
        <w:rPr>
          <w:b/>
          <w:color w:val="1A1A1A"/>
          <w:sz w:val="19"/>
        </w:rPr>
        <w:t>157% increase in profitability for a specialty product line within 12 months</w:t>
      </w:r>
      <w:r>
        <w:rPr>
          <w:color w:val="1A1A1A"/>
          <w:sz w:val="19"/>
        </w:rPr>
        <w:t xml:space="preserve"> — demonstrating the direct business value of data-driven strategy.</w:t>
      </w:r>
    </w:p>
    <w:p>
      <w:pPr>
        <w:pStyle w:val="ListBullet"/>
        <w:spacing w:before="0" w:after="20" w:line="300" w:lineRule="auto"/>
        <w:ind w:left="360"/>
      </w:pPr>
      <w:r>
        <w:rPr>
          <w:color w:val="1A1A1A"/>
          <w:sz w:val="19"/>
        </w:rPr>
        <w:t xml:space="preserve">Architected a suite of </w:t>
      </w:r>
      <w:r>
        <w:rPr>
          <w:b/>
          <w:color w:val="1A1A1A"/>
          <w:sz w:val="19"/>
        </w:rPr>
        <w:t>production model-ready data pipelines</w:t>
      </w:r>
      <w:r>
        <w:rPr>
          <w:color w:val="1A1A1A"/>
          <w:sz w:val="19"/>
        </w:rPr>
        <w:t xml:space="preserve"> enabling modular, specialized modeling and insights across dozens of specialty product lines — establishing scalable infrastructure where none existed.</w:t>
      </w:r>
    </w:p>
    <w:p>
      <w:pPr>
        <w:pStyle w:val="ListBullet"/>
        <w:spacing w:before="0" w:after="20" w:line="300" w:lineRule="auto"/>
        <w:ind w:left="360"/>
      </w:pPr>
      <w:r>
        <w:rPr>
          <w:color w:val="1A1A1A"/>
          <w:sz w:val="19"/>
        </w:rPr>
        <w:t>Owned full model lifecycle from inception through deployment and iteration, including scalable API prediction endpoints, monitoring, retraining pipelines, and stakeholder communication.</w:t>
      </w:r>
    </w:p>
    <w:p>
      <w:pPr>
        <w:spacing w:before="60" w:after="40"/>
      </w:pPr>
      <w:r>
        <w:rPr>
          <w:b/>
          <w:color w:val="1A1A1A"/>
          <w:sz w:val="19"/>
        </w:rPr>
        <w:t>Reinsurance – CCR Unallocated, Finance &amp; Accounting</w:t>
      </w:r>
    </w:p>
    <w:p>
      <w:pPr>
        <w:pStyle w:val="ListBullet"/>
        <w:spacing w:before="0" w:after="20" w:line="300" w:lineRule="auto"/>
        <w:ind w:left="360"/>
      </w:pPr>
      <w:r>
        <w:rPr>
          <w:color w:val="1A1A1A"/>
          <w:sz w:val="19"/>
        </w:rPr>
        <w:t xml:space="preserve">Pioneered data infrastructure and automation within Finance, delivering </w:t>
      </w:r>
      <w:r>
        <w:rPr>
          <w:b/>
          <w:color w:val="1A1A1A"/>
          <w:sz w:val="19"/>
        </w:rPr>
        <w:t>700+ hours of annualized time savings</w:t>
      </w:r>
      <w:r>
        <w:rPr>
          <w:color w:val="1A1A1A"/>
          <w:sz w:val="19"/>
        </w:rPr>
        <w:t xml:space="preserve"> through engineering solutions that replaced manual processes with scalable, maintainable systems.</w:t>
      </w:r>
    </w:p>
    <w:p>
      <w:pPr>
        <w:pStyle w:val="ListBullet"/>
        <w:spacing w:before="0" w:after="20" w:line="300" w:lineRule="auto"/>
        <w:ind w:left="360"/>
      </w:pPr>
      <w:r>
        <w:rPr>
          <w:color w:val="1A1A1A"/>
          <w:sz w:val="19"/>
        </w:rPr>
        <w:t>Led multiple teams in developing analytical solutions for niche reinsurance challenges, building internal capability and executive support for modern BI tools and future applications.</w:t>
      </w:r>
    </w:p>
    <w:p>
      <w:pPr>
        <w:tabs>
          <w:tab w:pos="11232" w:val="right"/>
        </w:tabs>
        <w:spacing w:before="120" w:after="20"/>
      </w:pPr>
      <w:r>
        <w:rPr>
          <w:b/>
          <w:color w:val="1A1A1A"/>
          <w:sz w:val="22"/>
        </w:rPr>
        <w:t>Business Data Scientist</w:t>
      </w:r>
      <w:r>
        <w:rPr>
          <w:color w:val="444444"/>
          <w:sz w:val="20"/>
        </w:rPr>
        <w:t xml:space="preserve">  |  Kaléo Inc.</w:t>
      </w:r>
      <w:r>
        <w:rPr>
          <w:i/>
          <w:color w:val="666666"/>
          <w:sz w:val="18"/>
        </w:rPr>
        <w:tab/>
        <w:t>2020 – 2022</w:t>
      </w:r>
    </w:p>
    <w:p>
      <w:pPr>
        <w:spacing w:before="0" w:after="60"/>
      </w:pPr>
      <w:r>
        <w:rPr>
          <w:i/>
          <w:color w:val="3D6B99"/>
          <w:sz w:val="18"/>
        </w:rPr>
        <w:t>Pharmaceutical Commercial Operations</w:t>
      </w:r>
    </w:p>
    <w:p>
      <w:pPr>
        <w:pStyle w:val="ListBullet"/>
        <w:spacing w:before="0" w:after="20" w:line="300" w:lineRule="auto"/>
        <w:ind w:left="360"/>
      </w:pPr>
      <w:r>
        <w:rPr>
          <w:color w:val="1A1A1A"/>
          <w:sz w:val="19"/>
        </w:rPr>
        <w:t xml:space="preserve">Owned the insight generation engine and analytics architecture powering a </w:t>
      </w:r>
      <w:r>
        <w:rPr>
          <w:b/>
          <w:color w:val="1A1A1A"/>
          <w:sz w:val="19"/>
        </w:rPr>
        <w:t>150+ person commercial salesforce</w:t>
      </w:r>
      <w:r>
        <w:rPr>
          <w:color w:val="1A1A1A"/>
          <w:sz w:val="19"/>
        </w:rPr>
        <w:t xml:space="preserve"> — designing and maintaining the data infrastructure, segmentation models, and reporting systems that drove field execution and territory strategy.</w:t>
      </w:r>
    </w:p>
    <w:p>
      <w:pPr>
        <w:pStyle w:val="ListBullet"/>
        <w:spacing w:before="0" w:after="20" w:line="300" w:lineRule="auto"/>
        <w:ind w:left="360"/>
      </w:pPr>
      <w:r>
        <w:rPr>
          <w:color w:val="1A1A1A"/>
          <w:sz w:val="19"/>
        </w:rPr>
        <w:t xml:space="preserve">Built physician-level </w:t>
      </w:r>
      <w:r>
        <w:rPr>
          <w:b/>
          <w:color w:val="1A1A1A"/>
          <w:sz w:val="19"/>
        </w:rPr>
        <w:t>customer segmentation and retention models</w:t>
      </w:r>
      <w:r>
        <w:rPr>
          <w:color w:val="1A1A1A"/>
          <w:sz w:val="19"/>
        </w:rPr>
        <w:t xml:space="preserve"> that directly targeted high-value prescribers, improving commercial precision and driving measurable revenue impact across product lines.</w:t>
      </w:r>
    </w:p>
    <w:p>
      <w:pPr>
        <w:pStyle w:val="ListBullet"/>
        <w:spacing w:before="0" w:after="20" w:line="300" w:lineRule="auto"/>
        <w:ind w:left="360"/>
      </w:pPr>
      <w:r>
        <w:rPr>
          <w:color w:val="1A1A1A"/>
          <w:sz w:val="19"/>
        </w:rPr>
        <w:t>Took on mentorship responsibilities across the analytics function, developing junior team members while partnering with senior leadership to embed data-driven decision-making into commercial operations.</w:t>
      </w:r>
    </w:p>
    <w:p>
      <w:pPr>
        <w:spacing w:before="160" w:after="80"/>
        <w:pBdr>
          <w:bottom w:val="single" w:sz="8" w:space="1" w:color="1B2A4A"/>
        </w:pBdr>
      </w:pPr>
      <w:r>
        <w:rPr>
          <w:b/>
          <w:color w:val="1B2A4A"/>
          <w:sz w:val="22"/>
        </w:rPr>
        <w:t>EDUCATION</w:t>
      </w:r>
    </w:p>
    <w:p>
      <w:pPr>
        <w:tabs>
          <w:tab w:pos="11232" w:val="right"/>
        </w:tabs>
        <w:spacing w:before="60" w:after="0"/>
      </w:pPr>
      <w:r>
        <w:rPr>
          <w:b/>
          <w:color w:val="1A1A1A"/>
          <w:sz w:val="21"/>
        </w:rPr>
        <w:t>The College of William &amp; Mary</w:t>
      </w:r>
      <w:r>
        <w:rPr>
          <w:color w:val="444444"/>
          <w:sz w:val="18"/>
        </w:rPr>
        <w:t>, Raymond A. Mason Graduate School of Business</w:t>
      </w:r>
      <w:r>
        <w:rPr>
          <w:i/>
          <w:color w:val="666666"/>
          <w:sz w:val="17"/>
        </w:rPr>
        <w:tab/>
        <w:t>Expected 2027</w:t>
      </w:r>
    </w:p>
    <w:p>
      <w:pPr>
        <w:spacing w:before="0" w:after="40"/>
      </w:pPr>
      <w:r>
        <w:rPr>
          <w:i/>
          <w:color w:val="1A1A1A"/>
          <w:sz w:val="18"/>
        </w:rPr>
        <w:t>Master of Business Administration (Executive MBA — Part-Time, Concurrent with Full-Time Employment)</w:t>
      </w:r>
    </w:p>
    <w:p>
      <w:pPr>
        <w:spacing w:before="60" w:after="0"/>
      </w:pPr>
      <w:r>
        <w:rPr>
          <w:b/>
          <w:color w:val="1A1A1A"/>
          <w:sz w:val="21"/>
        </w:rPr>
        <w:t>The College of William &amp; Mary</w:t>
      </w:r>
      <w:r>
        <w:rPr>
          <w:color w:val="444444"/>
          <w:sz w:val="18"/>
        </w:rPr>
        <w:t>, Raymond A. Mason Graduate School of Business</w:t>
      </w:r>
    </w:p>
    <w:p>
      <w:pPr>
        <w:spacing w:before="0" w:after="40"/>
      </w:pPr>
      <w:r>
        <w:rPr>
          <w:i/>
          <w:color w:val="1A1A1A"/>
          <w:sz w:val="18"/>
        </w:rPr>
        <w:t>Master of Science, Business Analytics (MSBA — Data Science)</w:t>
      </w:r>
    </w:p>
    <w:p>
      <w:pPr>
        <w:spacing w:before="60" w:after="0"/>
      </w:pPr>
      <w:r>
        <w:rPr>
          <w:b/>
          <w:color w:val="1A1A1A"/>
          <w:sz w:val="21"/>
        </w:rPr>
        <w:t>Hampden-Sydney College</w:t>
      </w:r>
    </w:p>
    <w:p>
      <w:pPr>
        <w:spacing w:before="0" w:after="40"/>
      </w:pPr>
      <w:r>
        <w:rPr>
          <w:i/>
          <w:color w:val="1A1A1A"/>
          <w:sz w:val="18"/>
        </w:rPr>
        <w:t>B.S. Mathematical Economics; B.S. Applied Mathematics  |  Oxford University, St. Anne’s College — Virginia Program at Oxford</w:t>
      </w:r>
    </w:p>
    <w:p>
      <w:pPr>
        <w:spacing w:before="160" w:after="80"/>
        <w:pBdr>
          <w:bottom w:val="single" w:sz="8" w:space="1" w:color="1B2A4A"/>
        </w:pBdr>
      </w:pPr>
      <w:r>
        <w:rPr>
          <w:b/>
          <w:color w:val="1B2A4A"/>
          <w:sz w:val="22"/>
        </w:rPr>
        <w:t>TECHNICAL ENVIRONMENT</w:t>
      </w:r>
    </w:p>
    <w:p>
      <w:pPr>
        <w:spacing w:before="40" w:after="0" w:line="312" w:lineRule="auto"/>
      </w:pPr>
      <w:r>
        <w:rPr>
          <w:b/>
          <w:color w:val="1A1A1A"/>
          <w:sz w:val="17"/>
        </w:rPr>
        <w:t xml:space="preserve">Core: </w:t>
      </w:r>
      <w:r>
        <w:rPr>
          <w:color w:val="444444"/>
          <w:sz w:val="17"/>
        </w:rPr>
        <w:t xml:space="preserve">Python, R, SQL  ·  </w:t>
      </w:r>
      <w:r>
        <w:rPr>
          <w:b/>
          <w:color w:val="1A1A1A"/>
          <w:sz w:val="17"/>
        </w:rPr>
        <w:t xml:space="preserve">ML &amp; Statistics: </w:t>
      </w:r>
      <w:r>
        <w:rPr>
          <w:color w:val="444444"/>
          <w:sz w:val="17"/>
        </w:rPr>
        <w:t xml:space="preserve">scikit-learn, PyTorch, TensorFlow, XGBoost, LightGBM, GLMs, Time Series, Bayesian Methods, LLMs &amp; RAG  ·  </w:t>
      </w:r>
      <w:r>
        <w:rPr>
          <w:b/>
          <w:color w:val="1A1A1A"/>
          <w:sz w:val="17"/>
        </w:rPr>
        <w:t xml:space="preserve">Engineering &amp; Cloud: </w:t>
      </w:r>
      <w:r>
        <w:rPr>
          <w:color w:val="444444"/>
          <w:sz w:val="17"/>
        </w:rPr>
        <w:t xml:space="preserve">Apache Airflow, Dagster, Dataiku, Databricks, Snowflake, Azure, AWS, SQL Server, PostgreSQL, Docker  ·  </w:t>
      </w:r>
      <w:r>
        <w:rPr>
          <w:b/>
          <w:color w:val="1A1A1A"/>
          <w:sz w:val="17"/>
        </w:rPr>
        <w:t xml:space="preserve">MLOps: </w:t>
      </w:r>
      <w:r>
        <w:rPr>
          <w:color w:val="444444"/>
          <w:sz w:val="17"/>
        </w:rPr>
        <w:t xml:space="preserve">MLFlow, Git/GitHub, CI/CD, Flask, FastAPI  ·  </w:t>
      </w:r>
      <w:r>
        <w:rPr>
          <w:b/>
          <w:color w:val="1A1A1A"/>
          <w:sz w:val="17"/>
        </w:rPr>
        <w:t xml:space="preserve">BI: </w:t>
      </w:r>
      <w:r>
        <w:rPr>
          <w:color w:val="444444"/>
          <w:sz w:val="17"/>
        </w:rPr>
        <w:t xml:space="preserve">Tableau, Power BI, Streamlit, Plotly/Dash, R Shiny  ·  </w:t>
      </w:r>
      <w:r>
        <w:rPr>
          <w:b/>
          <w:color w:val="1A1A1A"/>
          <w:sz w:val="17"/>
        </w:rPr>
        <w:t xml:space="preserve">Domain: </w:t>
      </w:r>
      <w:r>
        <w:rPr>
          <w:color w:val="444444"/>
          <w:sz w:val="17"/>
        </w:rPr>
        <w:t>P&amp;C Insurance, Reinsurance, Actuarial Analytics, Regulatory Modeling, Pharmaceutical Commercial Ops</w:t>
      </w:r>
    </w:p>
    <w:sectPr w:rsidR="00FC693F" w:rsidRPr="0006063C" w:rsidSect="00034616">
      <w:pgSz w:w="12240" w:h="15840"/>
      <w:pgMar w:top="432" w:right="504" w:bottom="504" w:left="5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